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B0" w:rsidRPr="00E82457" w:rsidRDefault="008A23B0" w:rsidP="008A23B0">
      <w:pPr>
        <w:jc w:val="center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ПРИМЕРНЫЙ ПЕРЕЧЕНЬ ВОПРОСОВ К ЗАЧЕТУ ПО ДИСЦИПЛИНЕ «ВНЕШНЕЭКОНОМИЧЕСКАЯ ДЕЯТЕЛЬНОСТЬ»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 xml:space="preserve">Современное состояние внешнеэкономического сектора Республики Беларусь. 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 xml:space="preserve">Роль внешнеэкономического фактора в развитии национальной экономики. 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 xml:space="preserve">Основные субъекты ВЭД Республики Беларусь. 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 xml:space="preserve">Особенности деятельности коммерческих организаций с иностранными инвестициями, их филиалов и представительств на территории Республики Беларусь. 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 xml:space="preserve">Внешнеэкономическая стратегия организации. 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 xml:space="preserve">Оценка конкурентоспособности организации и его продукции на внешнем рынке. 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 xml:space="preserve">Ценообразование во внешнеэкономической деятельности организации. 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 xml:space="preserve">Особенности разработки маркетингового комплекса организации при работе на внешних рынках. 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 xml:space="preserve">Выбор партнера во внешнеэкономической деятельности организации. 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>Управление ВЭД организации.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>Совокупность элементов ВЭД организации.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 xml:space="preserve">Роль банков в ВЭД предприятий. 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 xml:space="preserve">Работа участников ВЭД с транспортными компаниями по организации международных перевозок. 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>Схема взаимоотношений организации со страховыми компаниями в ВЭД.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 xml:space="preserve">. Внешнеэкономические операции: сущность, виды, этапы. 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>Валютно-финансовые условия внешнеэкономических сделок.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 xml:space="preserve">Основные представления о валютном рынке и валютных операциях. 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 xml:space="preserve">Основные элементы сферы международных расчётов. 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>Формы расчётов и средства платежа в международной торговле.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 xml:space="preserve">Кредитование внешнеторговых операций. 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>Система государственного управления внешнеэкономической деятельностью в Республике Беларусь.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 xml:space="preserve">Субъекты государственного управления внешнеэкономической деятельностью в Республике Беларусь  и их функции. 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>Правовые основы государственного управления внешнеэкономической деятельностью в Республике Беларусь.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proofErr w:type="spellStart"/>
      <w:r w:rsidRPr="00E82457">
        <w:t>Таможенно-тарифное</w:t>
      </w:r>
      <w:proofErr w:type="spellEnd"/>
      <w:r w:rsidRPr="00E82457">
        <w:t xml:space="preserve"> регулирование международной торговли. 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 xml:space="preserve">Методы определения таможенной стоимости товара. 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 xml:space="preserve">Нетарифные ограничения внешнеторговых операций. 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>Система валютного регулирования и контроля  за внешнеторговой деятельностью Республике Беларусь</w:t>
      </w:r>
      <w:proofErr w:type="gramStart"/>
      <w:r w:rsidRPr="00E82457">
        <w:t xml:space="preserve">.. </w:t>
      </w:r>
      <w:proofErr w:type="gramEnd"/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>Регулирование притока иностранных инвестиций в Республике Беларусь.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 xml:space="preserve">Особенности регулирования внешнеэкономических отношений с партнёрами из стран ближнего зарубежья. 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>Внешнеторговая политика и её законодательная база.</w:t>
      </w:r>
    </w:p>
    <w:p w:rsidR="008A23B0" w:rsidRPr="00E82457" w:rsidRDefault="008A23B0" w:rsidP="008A23B0">
      <w:pPr>
        <w:pStyle w:val="a3"/>
        <w:numPr>
          <w:ilvl w:val="0"/>
          <w:numId w:val="1"/>
        </w:numPr>
      </w:pPr>
      <w:r w:rsidRPr="00E82457">
        <w:t>Валютная политика государства и её составляющие.</w:t>
      </w:r>
    </w:p>
    <w:p w:rsidR="0055312E" w:rsidRDefault="0055312E"/>
    <w:sectPr w:rsidR="0055312E" w:rsidSect="0055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45377"/>
    <w:multiLevelType w:val="hybridMultilevel"/>
    <w:tmpl w:val="97BA4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A23B0"/>
    <w:rsid w:val="00130620"/>
    <w:rsid w:val="0055312E"/>
    <w:rsid w:val="008A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23B0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A23B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2021-10-14T07:33:00Z</dcterms:created>
  <dcterms:modified xsi:type="dcterms:W3CDTF">2021-10-14T07:33:00Z</dcterms:modified>
</cp:coreProperties>
</file>